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OFERTA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V</w:t>
      </w:r>
      <w:r>
        <w:rPr>
          <w:b w:val="1"/>
          <w:bCs w:val="1"/>
          <w:sz w:val="28"/>
          <w:szCs w:val="28"/>
          <w:rtl w:val="0"/>
          <w:lang w:val="en-US"/>
        </w:rPr>
        <w:t>Á</w:t>
      </w:r>
      <w:r>
        <w:rPr>
          <w:b w:val="1"/>
          <w:bCs w:val="1"/>
          <w:sz w:val="28"/>
          <w:szCs w:val="28"/>
          <w:rtl w:val="0"/>
          <w:lang w:val="en-US"/>
        </w:rPr>
        <w:t>LVULA DE EXCESO DE FLUJO</w:t>
      </w:r>
      <w:r>
        <w:rPr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La entrega segura de gas sigue siendo una misi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 xml:space="preserve">n principal de la industria mundial del gas. Uno de los dispositivos disponibles en la industria es la 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v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lvula de exceso de flujo</w:t>
      </w:r>
      <w:r>
        <w:rPr>
          <w:rStyle w:val="Page Number"/>
          <w:rtl w:val="0"/>
          <w:lang w:val="en-US"/>
        </w:rPr>
        <w:t xml:space="preserve">” </w:t>
      </w:r>
      <w:r>
        <w:rPr>
          <w:rStyle w:val="Page Number"/>
          <w:rtl w:val="0"/>
          <w:lang w:val="en-US"/>
        </w:rPr>
        <w:t>o EFV. Este EFV se utiliza en la industria para detectar l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neas de gas cortadas o separado y para reducir la cantidad de flujo de gas a trav</w:t>
      </w:r>
      <w:r>
        <w:rPr>
          <w:rStyle w:val="Page Number"/>
          <w:rtl w:val="0"/>
          <w:lang w:val="en-US"/>
        </w:rPr>
        <w:t>é</w:t>
      </w:r>
      <w:r>
        <w:rPr>
          <w:rStyle w:val="Page Number"/>
          <w:rtl w:val="0"/>
          <w:lang w:val="en-US"/>
        </w:rPr>
        <w:t>s de la l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nea en caso de que ocurra esta situaci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El EFV est</w:t>
      </w:r>
      <w:r>
        <w:rPr>
          <w:rStyle w:val="Page Number"/>
          <w:rtl w:val="0"/>
          <w:lang w:val="en-US"/>
        </w:rPr>
        <w:t xml:space="preserve">á </w:t>
      </w:r>
      <w:r>
        <w:rPr>
          <w:rStyle w:val="Page Number"/>
          <w:rtl w:val="0"/>
          <w:lang w:val="en-US"/>
        </w:rPr>
        <w:t>dise</w:t>
      </w:r>
      <w:r>
        <w:rPr>
          <w:rStyle w:val="Page Number"/>
          <w:rtl w:val="0"/>
          <w:lang w:val="en-US"/>
        </w:rPr>
        <w:t>ñ</w:t>
      </w:r>
      <w:r>
        <w:rPr>
          <w:rStyle w:val="Page Number"/>
          <w:rtl w:val="0"/>
          <w:lang w:val="en-US"/>
        </w:rPr>
        <w:t>ado para detectar un flujo de gas anormalmente alto. Cuando se detecta este flujo anormalmente alto, la v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lvula se activa autom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ticamente para reducir el paso en la tuber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a de modo que solo una peque</w:t>
      </w:r>
      <w:r>
        <w:rPr>
          <w:rStyle w:val="Page Number"/>
          <w:rtl w:val="0"/>
          <w:lang w:val="en-US"/>
        </w:rPr>
        <w:t>ñ</w:t>
      </w:r>
      <w:r>
        <w:rPr>
          <w:rStyle w:val="Page Number"/>
          <w:rtl w:val="0"/>
          <w:lang w:val="en-US"/>
        </w:rPr>
        <w:t>a cantidad de gas pueda filtrarse a trav</w:t>
      </w:r>
      <w:r>
        <w:rPr>
          <w:rStyle w:val="Page Number"/>
          <w:rtl w:val="0"/>
          <w:lang w:val="en-US"/>
        </w:rPr>
        <w:t>é</w:t>
      </w:r>
      <w:r>
        <w:rPr>
          <w:rStyle w:val="Page Number"/>
          <w:rtl w:val="0"/>
          <w:lang w:val="en-US"/>
        </w:rPr>
        <w:t>s de la l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nea. Una vez que se ha corregido la situaci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 que caus</w:t>
      </w:r>
      <w:r>
        <w:rPr>
          <w:rStyle w:val="Page Number"/>
          <w:rtl w:val="0"/>
          <w:lang w:val="en-US"/>
        </w:rPr>
        <w:t xml:space="preserve">ó </w:t>
      </w:r>
      <w:r>
        <w:rPr>
          <w:rStyle w:val="Page Number"/>
          <w:rtl w:val="0"/>
          <w:lang w:val="en-US"/>
        </w:rPr>
        <w:t>el flujo anormalmente alto de gas y se iguala la presi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 del gas en la l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nea, la EFV se restablece y permite que se reanude el flujo normal de gas.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Texas Community Propane, Ltd. ofrece instalar una v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lvula de exceso de flujo que cumpla con los est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ndares de rendimiento de 49 CFR 192.381 para atender los hogares de sus clientes. El EFV se instalar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a bajo tierra cerca de donde la l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nea de jard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 que da servicio a su casa se conecta con la tuber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a principal de gas. El EFV deber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a restringir autom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ticamente la cantidad de gas que de otro modo se derramar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a en caso de que la l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nea de jard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 xml:space="preserve">n </w:t>
      </w:r>
      <w:r>
        <w:rPr>
          <w:b w:val="1"/>
          <w:bCs w:val="1"/>
          <w:rtl w:val="0"/>
          <w:lang w:val="en-US"/>
        </w:rPr>
        <w:t>se cortara, da</w:t>
      </w:r>
      <w:r>
        <w:rPr>
          <w:b w:val="1"/>
          <w:bCs w:val="1"/>
          <w:rtl w:val="0"/>
          <w:lang w:val="en-US"/>
        </w:rPr>
        <w:t>ñ</w:t>
      </w:r>
      <w:r>
        <w:rPr>
          <w:b w:val="1"/>
          <w:bCs w:val="1"/>
          <w:rtl w:val="0"/>
          <w:lang w:val="en-US"/>
        </w:rPr>
        <w:t>ara o separado</w:t>
      </w:r>
      <w:r>
        <w:rPr>
          <w:rStyle w:val="Page Number"/>
          <w:rtl w:val="0"/>
          <w:lang w:val="en-US"/>
        </w:rPr>
        <w:t xml:space="preserve"> (nota: la l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nea de jard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n se conecta a la tuber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a principal de gas y se extiende y termina en nuestro medidor de gas).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Texas Community Propane, Ltd. ofrece instalar una v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lvula de exceso de flujo por un costo total de $395.00 (incluye piezas, mano de obra, equipo y adquisici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n). Si desea solicitar la instalaci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 de un EFV en su hogar, env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enos un fax (512-899-9333) o env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enos este formulario por correo y nos comunicaremos con usted para programar la instalaci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n. Tenga en cuenta que la tarifa cotizada no incluye el reemplazo de ning</w:t>
      </w:r>
      <w:r>
        <w:rPr>
          <w:rStyle w:val="Page Number"/>
          <w:rtl w:val="0"/>
          <w:lang w:val="en-US"/>
        </w:rPr>
        <w:t>ú</w:t>
      </w:r>
      <w:r>
        <w:rPr>
          <w:rStyle w:val="Page Number"/>
          <w:rtl w:val="0"/>
          <w:lang w:val="en-US"/>
        </w:rPr>
        <w:t>n paisaje y no somos responsables de ning</w:t>
      </w:r>
      <w:r>
        <w:rPr>
          <w:rStyle w:val="Page Number"/>
          <w:rtl w:val="0"/>
          <w:lang w:val="en-US"/>
        </w:rPr>
        <w:t>ú</w:t>
      </w:r>
      <w:r>
        <w:rPr>
          <w:rStyle w:val="Page Number"/>
          <w:rtl w:val="0"/>
          <w:lang w:val="en-US"/>
        </w:rPr>
        <w:t>n da</w:t>
      </w:r>
      <w:r>
        <w:rPr>
          <w:rStyle w:val="Page Number"/>
          <w:rtl w:val="0"/>
          <w:lang w:val="en-US"/>
        </w:rPr>
        <w:t>ñ</w:t>
      </w:r>
      <w:r>
        <w:rPr>
          <w:rStyle w:val="Page Number"/>
          <w:rtl w:val="0"/>
          <w:lang w:val="en-US"/>
        </w:rPr>
        <w:t>o al paisaje durante el proceso de instalaci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 xml:space="preserve">n. </w:t>
      </w:r>
      <w:r>
        <w:rPr>
          <w:b w:val="1"/>
          <w:bCs w:val="1"/>
          <w:rtl w:val="0"/>
          <w:lang w:val="en-US"/>
        </w:rPr>
        <w:t>Texas Community Propane, Ltd. no puede ser y no es responsable de ning</w:t>
      </w:r>
      <w:r>
        <w:rPr>
          <w:b w:val="1"/>
          <w:bCs w:val="1"/>
          <w:rtl w:val="0"/>
          <w:lang w:val="en-US"/>
        </w:rPr>
        <w:t>ú</w:t>
      </w:r>
      <w:r>
        <w:rPr>
          <w:b w:val="1"/>
          <w:bCs w:val="1"/>
          <w:rtl w:val="0"/>
          <w:lang w:val="en-US"/>
        </w:rPr>
        <w:t>n da</w:t>
      </w:r>
      <w:r>
        <w:rPr>
          <w:b w:val="1"/>
          <w:bCs w:val="1"/>
          <w:rtl w:val="0"/>
          <w:lang w:val="en-US"/>
        </w:rPr>
        <w:t>ñ</w:t>
      </w:r>
      <w:r>
        <w:rPr>
          <w:b w:val="1"/>
          <w:bCs w:val="1"/>
          <w:rtl w:val="0"/>
          <w:lang w:val="en-US"/>
        </w:rPr>
        <w:t>o debido al mal funcionamiento del EFV en caso de que no funcione seg</w:t>
      </w:r>
      <w:r>
        <w:rPr>
          <w:b w:val="1"/>
          <w:bCs w:val="1"/>
          <w:rtl w:val="0"/>
          <w:lang w:val="en-US"/>
        </w:rPr>
        <w:t>ú</w:t>
      </w:r>
      <w:r>
        <w:rPr>
          <w:b w:val="1"/>
          <w:bCs w:val="1"/>
          <w:rtl w:val="0"/>
          <w:lang w:val="en-US"/>
        </w:rPr>
        <w:t>n lo previsto. Adem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s, el cliente ser</w:t>
      </w:r>
      <w:r>
        <w:rPr>
          <w:b w:val="1"/>
          <w:bCs w:val="1"/>
          <w:rtl w:val="0"/>
          <w:lang w:val="en-US"/>
        </w:rPr>
        <w:t xml:space="preserve">á </w:t>
      </w:r>
      <w:r>
        <w:rPr>
          <w:b w:val="1"/>
          <w:bCs w:val="1"/>
          <w:rtl w:val="0"/>
          <w:lang w:val="en-US"/>
        </w:rPr>
        <w:t>responsable del costo del mantenimiento (sin embargo, no se espera mantenimiento programado) si es necesario, y el reemplazo de la EFV si es necesario (el reemplazo costar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a $395).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S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, solicito que Texas Community Propane, Ltd. instale una "v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lvula de exceso de flujo" para atender mi hogar y acepto pagar $395.00 por adelantado por este servicio. Por favor, p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ngase en contacto conmigo para programar una fecha de instalaci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Direcci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n: _____________________________________________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Firmado: ____________________________ Fecha: 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Nombre impreso): 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tl w:val="0"/>
          <w:lang w:val="en-US"/>
        </w:rPr>
        <w:t>N</w:t>
      </w:r>
      <w:r>
        <w:rPr>
          <w:rStyle w:val="Page Number"/>
          <w:rtl w:val="0"/>
          <w:lang w:val="en-US"/>
        </w:rPr>
        <w:t>ú</w:t>
      </w:r>
      <w:r>
        <w:rPr>
          <w:rStyle w:val="Page Number"/>
          <w:rtl w:val="0"/>
          <w:lang w:val="en-US"/>
        </w:rPr>
        <w:t>mero de tel</w:t>
      </w:r>
      <w:r>
        <w:rPr>
          <w:rStyle w:val="Page Number"/>
          <w:rtl w:val="0"/>
          <w:lang w:val="en-US"/>
        </w:rPr>
        <w:t>é</w:t>
      </w:r>
      <w:r>
        <w:rPr>
          <w:rStyle w:val="Page Number"/>
          <w:rtl w:val="0"/>
          <w:lang w:val="en-US"/>
        </w:rPr>
        <w:t>fono: ________________________ Mejor hora para contactar: 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288" w:footer="28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both"/>
      <w:rPr>
        <w:sz w:val="14"/>
        <w:szCs w:val="14"/>
      </w:rPr>
    </w:pPr>
    <w:r>
      <w:rPr>
        <w:sz w:val="14"/>
        <w:szCs w:val="14"/>
        <w:u w:val="single"/>
      </w:rPr>
      <w:tab/>
      <w:tab/>
      <w:tab/>
      <w:tab/>
      <w:tab/>
      <w:tab/>
      <w:tab/>
      <w:tab/>
      <w:tab/>
      <w:tab/>
      <w:tab/>
      <w:tab/>
    </w:r>
  </w:p>
  <w:p>
    <w:pPr>
      <w:pStyle w:val="Footer"/>
      <w:jc w:val="center"/>
    </w:pPr>
    <w:r>
      <w:rPr>
        <w:smallCaps w:val="1"/>
        <w:sz w:val="14"/>
        <w:szCs w:val="14"/>
        <w:rtl w:val="0"/>
        <w:lang w:val="en-US"/>
      </w:rPr>
      <w:t xml:space="preserve">4501 Eby Lane, Suite 100   Austin, Texas 78731   Voice: (512) 380-0400   Fax: (512) 453-8009  Email:  </w:t>
    </w:r>
    <w:r>
      <w:rPr>
        <w:sz w:val="14"/>
        <w:szCs w:val="14"/>
        <w:rtl w:val="0"/>
        <w:lang w:val="en-US"/>
      </w:rPr>
      <w:t>barton@texascommunitypropane.com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both"/>
      <w:rPr>
        <w:sz w:val="14"/>
        <w:szCs w:val="14"/>
      </w:rPr>
    </w:pPr>
    <w:r>
      <w:rPr>
        <w:sz w:val="14"/>
        <w:szCs w:val="14"/>
        <w:u w:val="single"/>
      </w:rPr>
      <w:tab/>
      <w:tab/>
      <w:tab/>
      <w:tab/>
      <w:tab/>
      <w:tab/>
      <w:tab/>
      <w:tab/>
      <w:tab/>
      <w:tab/>
      <w:tab/>
      <w:tab/>
    </w:r>
  </w:p>
  <w:p>
    <w:pPr>
      <w:pStyle w:val="Footer"/>
      <w:jc w:val="center"/>
      <w:rPr>
        <w:b w:val="1"/>
        <w:bCs w:val="1"/>
        <w:sz w:val="14"/>
        <w:szCs w:val="14"/>
      </w:rPr>
    </w:pPr>
    <w:r>
      <w:rPr>
        <w:smallCaps w:val="1"/>
        <w:sz w:val="14"/>
        <w:szCs w:val="14"/>
        <w:rtl w:val="0"/>
        <w:lang w:val="en-US"/>
      </w:rPr>
      <w:t>PO Box 90187   Austin, Texas 78709   Voice: (512) 272-5503   Fax: (512)233-0547</w:t>
    </w:r>
    <w:r>
      <w:rPr>
        <w:sz w:val="14"/>
        <w:szCs w:val="14"/>
        <w:rtl w:val="0"/>
        <w:lang w:val="en-US"/>
      </w:rPr>
      <w:t xml:space="preserve">     </w:t>
    </w:r>
    <w:r>
      <w:rPr>
        <w:b w:val="1"/>
        <w:bCs w:val="1"/>
        <w:sz w:val="14"/>
        <w:szCs w:val="14"/>
        <w:rtl w:val="0"/>
        <w:lang w:val="en-US"/>
      </w:rPr>
      <w:t>V22.12</w:t>
    </w:r>
  </w:p>
  <w:p>
    <w:pPr>
      <w:pStyle w:val="Footer"/>
      <w:jc w:val="center"/>
    </w:pPr>
    <w:r>
      <w:rPr>
        <w:b w:val="1"/>
        <w:bCs w:val="1"/>
        <w:sz w:val="14"/>
        <w:szCs w:val="1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Page Number"/>
      </w:rPr>
    </w:pPr>
    <w:r>
      <w:rPr>
        <w:rStyle w:val="Page Number"/>
        <w:rtl w:val="0"/>
        <w:lang w:val="en-US"/>
      </w:rPr>
      <w:t>Barton Prideaux</w:t>
    </w:r>
  </w:p>
  <w:p>
    <w:pPr>
      <w:pStyle w:val="Header"/>
      <w:rPr>
        <w:rStyle w:val="Page Number"/>
      </w:rPr>
    </w:pPr>
    <w:r>
      <w:rPr>
        <w:rStyle w:val="Page Number"/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  <w:r>
      <w:rPr>
        <w:rStyle w:val="Page Number"/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Header"/>
    </w:pPr>
    <w:r>
      <w:rPr>
        <w:rStyle w:val="Page Number"/>
      </w:rPr>
      <w:fldChar w:fldCharType="begin" w:fldLock="0"/>
    </w:r>
    <w:r>
      <w:rPr>
        <w:rStyle w:val="Page Number"/>
      </w:rPr>
      <w:instrText xml:space="preserve"> DATE \@ "M/d/yy" </w:instrText>
    </w:r>
    <w:r>
      <w:rPr>
        <w:rStyle w:val="Page Number"/>
      </w:rPr>
      <w:fldChar w:fldCharType="separate" w:fldLock="0"/>
    </w:r>
    <w:r>
      <w:rPr>
        <w:rStyle w:val="Page Number"/>
        <w:rtl w:val="0"/>
        <w:lang w:val="en-US"/>
      </w:rPr>
      <w:t>1/16/2023</w:t>
    </w:r>
    <w:r>
      <w:rPr>
        <w:rStyle w:val="Page Number"/>
      </w:rPr>
      <w:fldChar w:fldCharType="end" w:fldLock="0"/>
    </w:r>
    <w:r>
      <w:rPr>
        <w:rStyle w:val="Page Number"/>
        <w:rtl w:val="0"/>
        <w:lang w:val="en-US"/>
      </w:rPr>
      <w:t xml:space="preserve"> </w:t>
    </w:r>
  </w:p>
  <w:p>
    <w:pPr>
      <w:pStyle w:val="Head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smallCaps w:val="1"/>
        <w:sz w:val="50"/>
        <w:szCs w:val="50"/>
      </w:rPr>
    </w:pPr>
    <w:r>
      <w:rPr>
        <w:smallCaps w:val="1"/>
        <w:sz w:val="50"/>
        <w:szCs w:val="50"/>
        <w:rtl w:val="0"/>
        <w:lang w:val="en-US"/>
      </w:rPr>
      <w:t>Texas Community Propane, Ltd.</w:t>
    </w:r>
  </w:p>
  <w:p>
    <w:pPr>
      <w:pStyle w:val="Normal.0"/>
      <w:jc w:val="center"/>
      <w:rPr>
        <w:smallCaps w:val="1"/>
        <w:sz w:val="18"/>
        <w:szCs w:val="18"/>
      </w:rPr>
    </w:pPr>
  </w:p>
  <w:p>
    <w:pPr>
      <w:pStyle w:val="Normal.0"/>
      <w:jc w:val="right"/>
    </w:pPr>
    <w:r>
      <w:rPr>
        <w:sz w:val="16"/>
        <w:szCs w:val="16"/>
        <w:u w:val="single"/>
      </w:rPr>
      <w:tab/>
      <w:tab/>
      <w:tab/>
      <w:tab/>
      <w:tab/>
      <w:tab/>
      <w:tab/>
      <w:tab/>
      <w:tab/>
      <w:tab/>
      <w:tab/>
      <w:tab/>
    </w:r>
    <w:r>
      <w:rPr>
        <w:b w:val="1"/>
        <w:bCs w:val="1"/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